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434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0"/>
        <w:gridCol w:w="2835"/>
        <w:gridCol w:w="2835"/>
        <w:gridCol w:w="2835"/>
        <w:gridCol w:w="2835"/>
        <w:tblGridChange w:id="0">
          <w:tblGrid>
            <w:gridCol w:w="3000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rHeight w:val="11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Test Friday 1st 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Test Friday 8th 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Test Friday 15th 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Test Friday 22nd 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8"/>
                <w:szCs w:val="28"/>
                <w:u w:val="single"/>
                <w:rtl w:val="0"/>
              </w:rPr>
              <w:t xml:space="preserve">Test Thursday 28th March</w:t>
            </w:r>
          </w:p>
        </w:tc>
      </w:tr>
      <w:tr>
        <w:trPr>
          <w:cantSplit w:val="0"/>
          <w:trHeight w:val="11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More contractions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Prefixes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 and 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Prefix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Prefix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Common words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Days of the Week</w:t>
            </w:r>
          </w:p>
        </w:tc>
      </w:tr>
      <w:tr>
        <w:trPr>
          <w:cantSplit w:val="0"/>
          <w:trHeight w:val="11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they’re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we’re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you’re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can’t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shouldn’t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wouldn’t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couldn’t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redo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replay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predict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preschool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prevent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extend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expect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exit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exact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expel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extra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exclaim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depend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decide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demand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possess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difficult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often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Wednesday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Sunday</w:t>
            </w:r>
          </w:p>
        </w:tc>
      </w:tr>
    </w:tbl>
    <w:p w:rsidR="00000000" w:rsidDel="00000000" w:rsidP="00000000" w:rsidRDefault="00000000" w:rsidRPr="00000000" w14:paraId="0000004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160" w:line="259" w:lineRule="auto"/>
      <w:jc w:val="center"/>
      <w:rPr>
        <w:rFonts w:ascii="Century Gothic" w:cs="Century Gothic" w:eastAsia="Century Gothic" w:hAnsi="Century Gothic"/>
        <w:b w:val="1"/>
        <w:sz w:val="28"/>
        <w:szCs w:val="28"/>
        <w:u w:val="singl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8"/>
        <w:szCs w:val="28"/>
        <w:u w:val="single"/>
        <w:rtl w:val="0"/>
      </w:rPr>
      <w:t xml:space="preserve">Group 2 – Year 3 Spellings </w:t>
      <w:tab/>
      <w:t xml:space="preserve">Spring 2 2024</w:t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